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IMIĘ I NAZWISKO NAUCZYCIELA: Filip Żurek  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MIEJSCE I DATA: Tarnów, 02.02.2026r.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SZKOŁA: Szkoła Podstawowa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Klasa: VI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Temat: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 Życie konsekrowane jako droga całkowitego oddania Bogu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 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1. Cele ogólne: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Przybliżenie sensu rad ewangelicznych i różnorodności form życia konsekrowanego.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2. Wymagania programowe - szczegółowe: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Uczeń: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Wiedza: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Definiuje życie konsekrowane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Wymienia rady ewangeliczne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Opisuje przykład osób konsekrowanych: Siostra Faustyna.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Umiejętności: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Potrafi wskazać drogi powołania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Podejmuje modlitwę za osoby konsekrowane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Postawy: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Uczeń posiada szacunek do osób konsekrowanych.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Uczeń potrafi kierować się radami ewangelicznymi.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3. Metody i techniki: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Rozmowa i opowiadanie, film wprowadzający, praca z tekstem Pisma Świętego, odczytywanie świadectwa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4. Środki dydaktyczne: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Projektor, głośnik, Pismo Święte, tablica, pisaki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5. Korelacja z innymi przedmiotami: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  - historia, muzyka, polski,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II Przebieg lekcji: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:rsidR="00CB7EFA" w:rsidRPr="00CB7EFA" w:rsidRDefault="00CB7EFA" w:rsidP="00CB7EFA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Wprowadzenie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Treść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Pozdrowienie Pana Boga: „Niech będzie pochwalony Jezus Chrystus”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Modlitwa za wstawiennictwem Matki Bożej (Pod twoją obronę).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Zarysowanie tematu: życie konsekrowane jako droga całkowitego oddania się Panu Bogu.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Czas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5 minut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Metody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modlitwa, wykład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Środki dydaktyczne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mowa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2.</w:t>
      </w:r>
      <w:r w:rsidRPr="00CB7EFA">
        <w:rPr>
          <w:rFonts w:eastAsia="Times New Roman" w:cs="Times New Roman"/>
          <w:color w:val="000000"/>
          <w:szCs w:val="24"/>
          <w:lang w:eastAsia="pl-PL"/>
        </w:rPr>
        <w:t> </w:t>
      </w: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Sytuacja</w:t>
      </w:r>
      <w:r w:rsidRPr="00CB7EFA">
        <w:rPr>
          <w:rFonts w:eastAsia="Times New Roman" w:cs="Times New Roman"/>
          <w:color w:val="000000"/>
          <w:szCs w:val="24"/>
          <w:lang w:eastAsia="pl-PL"/>
        </w:rPr>
        <w:t> </w:t>
      </w: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egzystencjalna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Treść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Wprowadzenie do tematu lekcji: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Podanie definicji powołania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Cel powołania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Źródło powołania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Rodzaje powołania: małżeństwo, kapłaństwo, życie w samotności, życie konsekrowane.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- Notatka -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Uczniowe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 zapisują rodzaje powołania.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lastRenderedPageBreak/>
        <w:t>- Opowiadanie: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S. Pia: Moje powołanie to dla mnie wielka tajemnica. Z dzieciństwa pamiętam głównie to, że chodziłam na Mszę Świętą, bo „tak trzeba”, i odmawiałam „paciorek” przed snem, bo taka była zasada. A jednak Pan Bóg wiedział, jak mnie odnaleźć. Szukał mnie cierpliwie.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1A1A1A"/>
          <w:szCs w:val="24"/>
          <w:lang w:eastAsia="pl-PL"/>
        </w:rPr>
      </w:pPr>
      <w:r w:rsidRPr="00CB7EFA">
        <w:rPr>
          <w:rFonts w:eastAsia="Times New Roman" w:cs="Times New Roman"/>
          <w:color w:val="1A1A1A"/>
          <w:szCs w:val="24"/>
          <w:lang w:eastAsia="pl-PL"/>
        </w:rPr>
        <w:t xml:space="preserve">Szukałam swojego miejsca, grupy w świecie. Może karate? Po kilku latach treningów karate, Pan postawił na mojej drodze ludzi, którzy zaprosili mnie do wspólnoty oazowej. To tam zaczęłam naprawdę zbliżać się do Boga i coraz bardziej pragnęłam spotkania z Nim. Poznając różne siostry zakonne i środowiska kościelne, powoli odkrywałam, że mam swoje miejsce we wspólnocie Kościoła. Jeździłam na rekolekcje do </w:t>
      </w:r>
      <w:proofErr w:type="spellStart"/>
      <w:r w:rsidRPr="00CB7EFA">
        <w:rPr>
          <w:rFonts w:eastAsia="Times New Roman" w:cs="Times New Roman"/>
          <w:color w:val="1A1A1A"/>
          <w:szCs w:val="24"/>
          <w:lang w:eastAsia="pl-PL"/>
        </w:rPr>
        <w:t>Matemblewa</w:t>
      </w:r>
      <w:proofErr w:type="spellEnd"/>
      <w:r w:rsidRPr="00CB7EFA">
        <w:rPr>
          <w:rFonts w:eastAsia="Times New Roman" w:cs="Times New Roman"/>
          <w:color w:val="1A1A1A"/>
          <w:szCs w:val="24"/>
          <w:lang w:eastAsia="pl-PL"/>
        </w:rPr>
        <w:t>, nie wiedząc że to forma rozeznawania powołania. „Coś” albo bardziej Ktoś mnie tam ciągnął. Pan Bóg dawał mi subtelne znaki, że mnie zaprasza na drogę powołania zakonnego.</w:t>
      </w:r>
    </w:p>
    <w:p w:rsidR="00CB7EFA" w:rsidRPr="00CB7EFA" w:rsidRDefault="00CB7EFA" w:rsidP="00CB7EFA">
      <w:pPr>
        <w:spacing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CB7EFA">
        <w:rPr>
          <w:rFonts w:eastAsia="Times New Roman" w:cs="Times New Roman"/>
          <w:szCs w:val="24"/>
          <w:lang w:eastAsia="pl-PL"/>
        </w:rPr>
        <w:t>Jednym z takich znaków jest lusterko, które do dziś przechowuję. Po jednych rekolekcjach losowałyśmy lusterka z cytatami – na moim znalazły się słowa z Ewangelii św. Marka:</w:t>
      </w:r>
    </w:p>
    <w:p w:rsidR="00CB7EFA" w:rsidRPr="00CB7EFA" w:rsidRDefault="00CB7EFA" w:rsidP="00CB7EFA">
      <w:pPr>
        <w:spacing w:line="240" w:lineRule="auto"/>
        <w:ind w:firstLine="0"/>
        <w:rPr>
          <w:rFonts w:eastAsia="Times New Roman" w:cs="Times New Roman"/>
          <w:szCs w:val="24"/>
          <w:lang w:eastAsia="pl-PL"/>
        </w:rPr>
      </w:pPr>
      <w:r w:rsidRPr="00CB7EFA">
        <w:rPr>
          <w:rFonts w:eastAsia="Times New Roman" w:cs="Times New Roman"/>
          <w:szCs w:val="24"/>
          <w:lang w:eastAsia="pl-PL"/>
        </w:rPr>
        <w:t>„Przywołał do siebie tych, których sam chciał” (</w:t>
      </w:r>
      <w:proofErr w:type="spellStart"/>
      <w:r w:rsidRPr="00CB7EFA">
        <w:rPr>
          <w:rFonts w:eastAsia="Times New Roman" w:cs="Times New Roman"/>
          <w:szCs w:val="24"/>
          <w:lang w:eastAsia="pl-PL"/>
        </w:rPr>
        <w:t>Mk</w:t>
      </w:r>
      <w:proofErr w:type="spellEnd"/>
      <w:r w:rsidRPr="00CB7EFA">
        <w:rPr>
          <w:rFonts w:eastAsia="Times New Roman" w:cs="Times New Roman"/>
          <w:szCs w:val="24"/>
          <w:lang w:eastAsia="pl-PL"/>
        </w:rPr>
        <w:t xml:space="preserve"> 3, 13). Dla niektórych to mógł być zwykły przypadek, ale ja wiedziałam, że to Słowo jest do mnie. Czułam, że On naprawdę mnie chce.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Czas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10 minut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Metody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Wykład, rozmowa i opowiadanie 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Środki dydaktyczne - </w:t>
      </w:r>
      <w:r w:rsidRPr="00CB7EFA">
        <w:rPr>
          <w:rFonts w:eastAsia="Times New Roman" w:cs="Times New Roman"/>
          <w:color w:val="000000"/>
          <w:szCs w:val="24"/>
          <w:shd w:val="clear" w:color="auto" w:fill="FFFFFF"/>
          <w:lang w:eastAsia="pl-PL"/>
        </w:rPr>
        <w:t>Mowa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3.</w:t>
      </w:r>
      <w:r w:rsidRPr="00CB7EFA">
        <w:rPr>
          <w:rFonts w:eastAsia="Times New Roman" w:cs="Times New Roman"/>
          <w:color w:val="000000"/>
          <w:szCs w:val="24"/>
          <w:lang w:eastAsia="pl-PL"/>
        </w:rPr>
        <w:t> </w:t>
      </w: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Przekaz orędzia I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Treść -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Definicja życia konsekrowanego: To szczególny sposób życia,  w którym osoba oddaje swoje  życie Panu Bogu. Przez publiczne zobowiązanie się do przestrzegania pewnych zasad które  pomagają nam trwać w tym powołaniu czyli rad ewangelicznych.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shd w:val="clear" w:color="auto" w:fill="FFFFFF"/>
          <w:lang w:eastAsia="pl-PL"/>
        </w:rPr>
        <w:t>- Instytuty życia konsekrowanego: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Zakonnicy i zakonnice: Bracia i siostry w różnych zgromadzeniach, żyjący w klasztorach lub  placówkach apostolskich, czynnych (np. w edukacji, szpitalach) lub kontemplacyjnych.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Indywidualne formy życia konsekrowanego: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Dziewice konsekrowane: Kobiety, które publicznie ślubują dziewictwo i poświęcają się       całkowicie Bogu, żyjąc w świecie (wśród ludzi), ale pod opieką biskupa.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Wdowy i wdowcy konsekrowani: Osoby, które po śmierci współmałżonka poświęcają się  Bogu, zobowiązując się do życia w samotności i modlitwie.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Pustelnicy: Osoby, które żyją w odosobnieniu, całkowicie oddane Bogu, poddane biskupowi  diecezjalnemu.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Instytuty świeckie: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Świeccy, którzy w ukryciu lub w małych grupach żyją radami ewangelicznymi, pozostając w  świecie, aby go uświęcać. 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- Notatka -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Uczniowe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 zapisują rodzaje życia konsekrowanego: ( Zakonnicy i zakonnice,  dziewice konsekrowane, wdowy i wdowcy konsekrowane, pustelnicy, świeccy.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Rady ewangeliczne, jako główny element oddania się Panu Bogu: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Czystość, ubóstwo i posłuszeństwo, które ślubują osoby konsekrowane, są par excellence radami  ewangelicznymi w tym znaczeniu, że zapraszają do takiego postępowania, które wyraźnie  odzwierciedla całą postawę Chrystusa ukazaną w Ewangelii.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Dzielimy klasę na trzy grupy (najlepiej rzędami):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Pierwsza grupa opisuje czym jest czystość.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Druga grupa opisuje czym jest ubóstwo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Trzecia grupa opisuje czym jest posłuszeństwo.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- Wyniki zapisujemy na tablicy.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lastRenderedPageBreak/>
        <w:t>- Następnie prowadzący podsumowuje wyniki klasy zapisane na tablicy i uzupełnia informacje  na temat rad ewangelicznych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- Czystość w życiu konsekrowanym to cnota polegająca na dążeniu do harmonijnego życia,  zgodnego ze swoim stanem, by według jego wymagań porządkować swoje pragnienia i  pożądliwości. Jest to też postawa, która pomaga w sposób piękny i godny przyjmować samego  siebie oraz inne osoby, stosownie do posiadanej przez nich godności oraz według łączących z  nimi więzów. W potocznym rozumieniu czystość polega na powstrzymywaniu się od aktów  seksualnych przed wstąpieniem w związek małżeński przez świeckich lub przez całe życie w  przypadku osób konsekrowanych i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celibatariuszy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>.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shd w:val="clear" w:color="auto" w:fill="FFFFFF"/>
          <w:lang w:eastAsia="pl-PL"/>
        </w:rPr>
        <w:t>- Ubóstwo w życiu konsekrowanym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polega na tym, że człowiek dąży do wewnętrznej wolności  wobec wszystkiego, co posiada. W tym sensie można mówić, że wyrzeka się wszystkiego, aby  heroicznie upodobnić się do Jezusa w zjednoczeniu z Nim. Wyrzeczenie się nie tyle polega na  pogardzie czy na umniejszaniu czegokolwiek, co posiadamy  – zarówno w wymiarze  materialnym, jak też ludzkim i duchowym – ale na jednoczesnej wdzięczności i gotowości do  zrezygnowania z tego, dla Chrystusa. 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191C1F"/>
          <w:szCs w:val="24"/>
          <w:lang w:eastAsia="pl-PL"/>
        </w:rPr>
      </w:pPr>
      <w:r w:rsidRPr="00CB7EFA">
        <w:rPr>
          <w:rFonts w:eastAsia="Times New Roman" w:cs="Times New Roman"/>
          <w:color w:val="191C1F"/>
          <w:szCs w:val="24"/>
          <w:lang w:eastAsia="pl-PL"/>
        </w:rPr>
        <w:t>Ubóstwo pozwala skoncentrować życie na naśladowaniu Chrystusa i wyrobieniu w sobie  dyspozycyjności względem bliźnich.  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191C1F"/>
          <w:szCs w:val="24"/>
          <w:lang w:eastAsia="pl-PL"/>
        </w:rPr>
      </w:pPr>
      <w:r w:rsidRPr="00CB7EFA">
        <w:rPr>
          <w:rFonts w:eastAsia="Times New Roman" w:cs="Times New Roman"/>
          <w:color w:val="191C1F"/>
          <w:szCs w:val="24"/>
          <w:lang w:eastAsia="pl-PL"/>
        </w:rPr>
        <w:t>Osoba uboga, tak jak rozumie to Ewangelia, ma w sobie wszystko, czego potrzebuje. Docenia,  że wszystko, co ma jest darem Boga. Ubogi żyje z darów i dzieli się nimi (wdowi grosz). Nie  posiada niczego dla siebie, ale wszystko, co otrzymał jest jednocześnie tym, co jest gotowy  oddać innym. 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191C1F"/>
          <w:szCs w:val="24"/>
          <w:lang w:eastAsia="pl-PL"/>
        </w:rPr>
      </w:pPr>
      <w:r w:rsidRPr="00CB7EFA">
        <w:rPr>
          <w:rFonts w:eastAsia="Times New Roman" w:cs="Times New Roman"/>
          <w:color w:val="191C1F"/>
          <w:szCs w:val="24"/>
          <w:lang w:eastAsia="pl-PL"/>
        </w:rPr>
        <w:t>- Posłuszeństwo w życiu konsekrowanym ma prowadzić do równości i braterskiej współpracy,  do wspólnego poszukiwania woli Bożej. Osoba, która angażuje swoją wolną wolę w  posłuszeństwo uczestniczy w ten sposób w posłuszeństwie Chrystusa, który był Ojcu posłuszny  w całym swoim życiu ziemskim (por. J 6, 38; 4, 34; Mt 26, 39). Posłuszeństwo Chrystusa ma  podwójny wymiar: jako wyraz synowskiej miłości wobec Ojca i jako wyraz miłości  ukrzyżowanej za zbawienie świata. Chrześcijanin, włączając się w posłuszeństwo, mistycznie  jednoczy się jak najściślej z Tym, który stał się posłuszny aż do końca, aż do śmierci. 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Czas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15 minut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Metody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Wykład, opowiadanie, rozmowa, zapis na tablicy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Środki dydaktyczne - </w:t>
      </w:r>
      <w:r w:rsidRPr="00CB7EFA">
        <w:rPr>
          <w:rFonts w:eastAsia="Times New Roman" w:cs="Times New Roman"/>
          <w:color w:val="000000"/>
          <w:szCs w:val="24"/>
          <w:shd w:val="clear" w:color="auto" w:fill="FFFFFF"/>
          <w:lang w:eastAsia="pl-PL"/>
        </w:rPr>
        <w:t>tablica, pisaki, mowa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4.</w:t>
      </w:r>
      <w:r w:rsidRPr="00CB7EFA">
        <w:rPr>
          <w:rFonts w:eastAsia="Times New Roman" w:cs="Times New Roman"/>
          <w:color w:val="000000"/>
          <w:szCs w:val="24"/>
          <w:lang w:eastAsia="pl-PL"/>
        </w:rPr>
        <w:t> </w:t>
      </w: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Przekaz orędzia II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Treść </w:t>
      </w:r>
      <w:r w:rsidRPr="00CB7EFA">
        <w:rPr>
          <w:rFonts w:eastAsia="Times New Roman" w:cs="Times New Roman"/>
          <w:color w:val="000000"/>
          <w:szCs w:val="24"/>
          <w:shd w:val="clear" w:color="auto" w:fill="FFFFFF"/>
          <w:lang w:eastAsia="pl-PL"/>
        </w:rPr>
        <w:t>-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- Wprowadzenie do pracy tekstu: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uczniowe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 zapisują sobie pytania do tekstu: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1. Kto powstrzymywał Faustynę przed pójściem do zakonu?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Odp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>: Rodzice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2. Jakie obowiązki pełniła Faustyna w zakonie?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Odp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>: Kucharki; sprzedawczyni w sklepie z pieczywem; ogrodniczki; furtianki.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3. Jak nazywano Faustynę?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Odp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>: Apostołka Bożego Miłosierdzia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4. Co było głównym zadaniem Faustyny?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Odp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>: przekazanie Kościołowi i światu orędzia Miłosierdzia, które jest przypomnieniem biblijnej prawdy o miłości miłosiernej Boga do każdego człowieka, wezwaniem do zawierzenia Mu swego życia i czynnej miłości wobec bliźnich. Jezus nie tylko ukazał jej głębię swego miłosierdzia, ale także przekazał nowe formy kultu: obraz z podpisem Jezu, ufam Tobie, święto Miłosierdzia, Koronkę do Miłosierdzia Bożego i modlitwę w chwili Jego konania na krzyżu, zwaną Godziną Miłosierdzia.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5. Gdzie znajdują się relikwie Faustyny? </w:t>
      </w:r>
      <w:proofErr w:type="spellStart"/>
      <w:r w:rsidRPr="00CB7EFA">
        <w:rPr>
          <w:rFonts w:eastAsia="Times New Roman" w:cs="Times New Roman"/>
          <w:color w:val="000000"/>
          <w:szCs w:val="24"/>
          <w:lang w:eastAsia="pl-PL"/>
        </w:rPr>
        <w:t>Odp</w:t>
      </w:r>
      <w:proofErr w:type="spellEnd"/>
      <w:r w:rsidRPr="00CB7EFA">
        <w:rPr>
          <w:rFonts w:eastAsia="Times New Roman" w:cs="Times New Roman"/>
          <w:color w:val="000000"/>
          <w:szCs w:val="24"/>
          <w:lang w:eastAsia="pl-PL"/>
        </w:rPr>
        <w:t>: Kraków Łagiewniki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Tekst źródłowy</w:t>
      </w:r>
    </w:p>
    <w:p w:rsidR="00CB7EFA" w:rsidRPr="00CB7EFA" w:rsidRDefault="00CB7EFA" w:rsidP="00CB7EFA">
      <w:pPr>
        <w:spacing w:line="240" w:lineRule="auto"/>
        <w:ind w:firstLine="0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 xml:space="preserve">Apostołka Bożego Miłosierdzia, Sekretarka Jezusa Miłosiernego, Prorok naszych czasów, wielki Mistyk, Mistrzyni życia duchowego – to tytuły, które najczęściej pojawiają się przy imieniu św. Siostry Faustyny Kowalskiej ze Zgromadzenia Matki Bożej Miłosierdzia. Należy </w:t>
      </w:r>
      <w:r w:rsidRPr="00CB7EFA">
        <w:rPr>
          <w:rFonts w:eastAsia="Times New Roman" w:cs="Times New Roman"/>
          <w:color w:val="000000"/>
          <w:szCs w:val="24"/>
          <w:lang w:eastAsia="pl-PL"/>
        </w:rPr>
        <w:lastRenderedPageBreak/>
        <w:t>do grona najbardziej znanych i lubianych świętych oraz największych mistyków w historii Kościoła</w:t>
      </w:r>
    </w:p>
    <w:p w:rsidR="00CB7EFA" w:rsidRPr="00CB7EFA" w:rsidRDefault="00CB7EFA" w:rsidP="00CB7EFA">
      <w:pPr>
        <w:spacing w:line="240" w:lineRule="auto"/>
        <w:ind w:firstLine="0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Urodziła się 25 sierpnia 1905 roku we wsi Głogowiec jako trzecie spośród dziesięciorga dzieci w rodzinie Stanisława i Marianny Kowalskich. Dwa dni później na chrzcie świętym w kościele parafialnym w Świnicach Warckich otrzymała imię Helena. W wieku 9 lat przystąpiła do pierwszej Komunii świętej. Do szkoły chodziła niecałe trzy lata, a potem poszła na służbę do zamożnych rodzin w Aleksandrowie Łódzkim i Łodzi. Od siódmego roku życia odczuwała wezwanie do służby Bożej, ale rodzice nie wyrażali zgody na jej wstąpienie do klasztoru. Przynaglona jednak wizją cierpiącego Chrystusa, w lipcu 1924 roku wyjechała do Warszawy, by szukać miejsca w klasztorze. Przez rok pracowała  jeszcze  jako  pomoc  domowa,  by  zarobić  na  skromny posag. 1 sierpnia 1925 roku wstąpiła do Zgromadzenia Sióstr Matki Bożej Miłosierdzia w Warszawie przy ul. Żytniej.</w:t>
      </w:r>
    </w:p>
    <w:p w:rsidR="00CB7EFA" w:rsidRPr="00CB7EFA" w:rsidRDefault="00CB7EFA" w:rsidP="00CB7EFA">
      <w:pPr>
        <w:spacing w:line="240" w:lineRule="auto"/>
        <w:ind w:firstLine="0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W tym Zgromadzeniu przeżyła 13 lat przebywając w wielu domach, najdłużej w Krakowie, Warszawie, Płocku i Wilnie, pełniąc obowiązki kucharki, sprzedawczyni w sklepie z pieczywem, ogrodniczki i furtianki. Chorowała na gruźlicę  płuc i przewodu  pokarmowego, dlatego  ponad 8 miesięcy  spędziła w szpitalu na Prądniku w Krakowie. Większe cierpienia od tych, które niosła gruźlica, znosiła jako dobrowolna ofiara za grzeszników i apostołka Bożego Miłosierdzia. Doświadczyła też wielu nadzwyczajnych łask: objawień, ekstaz, daru bilokacji, ukrytych stygmatów, czytania w duszach ludzkich, mistycznych zrękowin i zaślubin.</w:t>
      </w:r>
    </w:p>
    <w:p w:rsidR="00CB7EFA" w:rsidRPr="00CB7EFA" w:rsidRDefault="00CB7EFA" w:rsidP="00CB7EFA">
      <w:pPr>
        <w:spacing w:line="240" w:lineRule="auto"/>
        <w:ind w:firstLine="0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Zasadniczym zadaniem Siostry Faustyny było przekazanie Kościołowi i światu orędzia Miłosierdzia, które jest przypomnieniem biblijnej prawdy o miłości miłosiernej Boga do każdego człowieka, wezwaniem do zawierzenia Mu swego życia i czynnej miłości wobec bliźnich. Jezus nie tylko ukazał jej głębię swego miłosierdzia, ale także przekazał nowe formy kultu: obraz z podpisem Jezu, ufam Tobie, święto Miłosierdzia, Koronkę do Miłosierdzia Bożego i modlitwę w chwili Jego konania na krzyżu, zwaną Godziną Miłosierdzia. Do każdej z nich, a także do głoszenia orędzia Miłosierdzia przywiązał wielkie obietnice pod warunkiem troski o postawę zaufania Bogu, czyli pełnienia Jego woli, oraz świadczenia miłosierdzia bliźnim.</w:t>
      </w:r>
    </w:p>
    <w:p w:rsidR="00CB7EFA" w:rsidRPr="00CB7EFA" w:rsidRDefault="00CB7EFA" w:rsidP="00CB7EFA">
      <w:pPr>
        <w:spacing w:line="240" w:lineRule="auto"/>
        <w:ind w:firstLine="0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color w:val="000000"/>
          <w:szCs w:val="24"/>
          <w:lang w:eastAsia="pl-PL"/>
        </w:rPr>
        <w:t>Siostra Faustyna zmarła 5 października 1938 roku w klasztorze w Krakowie-Łagiewnikach mając zaledwie 33 lata. Z jej charyzmatu i doświadczenia mistycznego zrodził się Apostolski Ruch Bożego Miłosierdzia, który kontynuuje jej misję, głosząc światu orędzie Miłosierdzia poprzez świadectwo życia, czyny, słowa i modlitwę. 18 kwietnia 1993 roku Ojciec Święty Jan Paweł II wyniósł ją do chwały ołtarzy, a 30 kwietnia 2000 roku zaliczył do grona świętych Kościoła. Jej relikwie znajdują się w Sanktuarium Bożego Miłosierdzia w Krakowie-Łagiewnikach.</w:t>
      </w:r>
      <w:bookmarkStart w:id="0" w:name="_GoBack"/>
      <w:bookmarkEnd w:id="0"/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Czas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15 minut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Metody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Praca z Tekstem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Środki dydaktyczne </w:t>
      </w:r>
      <w:r w:rsidRPr="00CB7EFA">
        <w:rPr>
          <w:rFonts w:eastAsia="Times New Roman" w:cs="Times New Roman"/>
          <w:color w:val="000000"/>
          <w:szCs w:val="24"/>
          <w:shd w:val="clear" w:color="auto" w:fill="FFFFFF"/>
          <w:lang w:eastAsia="pl-PL"/>
        </w:rPr>
        <w:t>- tekst, mowa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5. Zakończenie</w:t>
      </w:r>
    </w:p>
    <w:p w:rsidR="00CB7EFA" w:rsidRPr="00CB7EFA" w:rsidRDefault="00CB7EFA" w:rsidP="00CB7EFA">
      <w:pPr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pl-PL"/>
        </w:rPr>
        <w:t>Treść - </w:t>
      </w:r>
      <w:r w:rsidRPr="00CB7EFA">
        <w:rPr>
          <w:rFonts w:eastAsia="Times New Roman" w:cs="Times New Roman"/>
          <w:color w:val="000000"/>
          <w:szCs w:val="24"/>
          <w:shd w:val="clear" w:color="auto" w:fill="FFFFFF"/>
          <w:lang w:eastAsia="pl-PL"/>
        </w:rPr>
        <w:t>Dyskusja na temat wykorzystywania rad ewangelicznych w naszym życiu: Jak nam mogą  pomóc rady ewangeliczne w naszym codziennym życiu? Podsumowanie tematu życia  konsekrowanego.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Czas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5 minut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Metody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Dyskusja, </w:t>
      </w:r>
    </w:p>
    <w:p w:rsidR="00CB7EFA" w:rsidRPr="00CB7EFA" w:rsidRDefault="00CB7EFA" w:rsidP="00CB7EFA">
      <w:pPr>
        <w:shd w:val="clear" w:color="auto" w:fill="FFFFFF"/>
        <w:spacing w:line="240" w:lineRule="auto"/>
        <w:ind w:firstLine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CB7EFA">
        <w:rPr>
          <w:rFonts w:eastAsia="Times New Roman" w:cs="Times New Roman"/>
          <w:b/>
          <w:bCs/>
          <w:color w:val="000000"/>
          <w:szCs w:val="24"/>
          <w:lang w:eastAsia="pl-PL"/>
        </w:rPr>
        <w:t>Środki dydaktyczne - </w:t>
      </w:r>
      <w:r w:rsidRPr="00CB7EFA">
        <w:rPr>
          <w:rFonts w:eastAsia="Times New Roman" w:cs="Times New Roman"/>
          <w:color w:val="000000"/>
          <w:szCs w:val="24"/>
          <w:lang w:eastAsia="pl-PL"/>
        </w:rPr>
        <w:t>Mowa</w:t>
      </w:r>
    </w:p>
    <w:p w:rsidR="00770B2E" w:rsidRPr="00CB7EFA" w:rsidRDefault="00CB7EFA">
      <w:pPr>
        <w:rPr>
          <w:szCs w:val="24"/>
        </w:rPr>
      </w:pPr>
    </w:p>
    <w:sectPr w:rsidR="00770B2E" w:rsidRPr="00CB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D6E5B"/>
    <w:multiLevelType w:val="multilevel"/>
    <w:tmpl w:val="DFE8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FA"/>
    <w:rsid w:val="00380F04"/>
    <w:rsid w:val="005F3587"/>
    <w:rsid w:val="00CB7EFA"/>
    <w:rsid w:val="00F0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A2FA"/>
  <w15:chartTrackingRefBased/>
  <w15:docId w15:val="{065A5AFD-F2FA-4E97-81D2-9491EF4A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3587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7EFA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katech-04</dc:creator>
  <cp:keywords/>
  <dc:description/>
  <cp:lastModifiedBy>katech-04</cp:lastModifiedBy>
  <cp:revision>1</cp:revision>
  <dcterms:created xsi:type="dcterms:W3CDTF">2026-03-02T11:04:00Z</dcterms:created>
  <dcterms:modified xsi:type="dcterms:W3CDTF">2026-03-02T11:05:00Z</dcterms:modified>
</cp:coreProperties>
</file>